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98185F">
        <w:rPr>
          <w:b/>
        </w:rPr>
        <w:t xml:space="preserve"> CHAUFFEUR 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11311" w:rsidRPr="00712607" w:rsidTr="00011311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011311" w:rsidRPr="00712607" w:rsidRDefault="00011311" w:rsidP="00011311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1C2916" w:rsidRPr="007E57FA" w:rsidRDefault="001C2916" w:rsidP="001C2916">
      <w:pPr>
        <w:rPr>
          <w:lang w:bidi="x-none"/>
        </w:rPr>
      </w:pPr>
      <w:r w:rsidRPr="007E57FA">
        <w:rPr>
          <w:lang w:bidi="x-none"/>
        </w:rPr>
        <w:t>De chauffeur</w:t>
      </w:r>
      <w:r>
        <w:rPr>
          <w:lang w:bidi="x-none"/>
        </w:rPr>
        <w:t xml:space="preserve"> I</w:t>
      </w:r>
      <w:r w:rsidRPr="007E57FA">
        <w:rPr>
          <w:lang w:bidi="x-none"/>
        </w:rPr>
        <w:t xml:space="preserve"> </w:t>
      </w:r>
      <w:r>
        <w:rPr>
          <w:lang w:bidi="x-none"/>
        </w:rPr>
        <w:t>komt voor</w:t>
      </w:r>
      <w:r w:rsidRPr="007E57FA">
        <w:rPr>
          <w:lang w:bidi="x-none"/>
        </w:rPr>
        <w:t xml:space="preserve"> in </w:t>
      </w:r>
      <w:r>
        <w:rPr>
          <w:lang w:bidi="x-none"/>
        </w:rPr>
        <w:t>de ambulante vishandel</w:t>
      </w:r>
      <w:r w:rsidRPr="007E57FA">
        <w:rPr>
          <w:lang w:bidi="x-none"/>
        </w:rPr>
        <w:t xml:space="preserve"> </w:t>
      </w:r>
      <w:r w:rsidR="00CE07EC">
        <w:rPr>
          <w:lang w:bidi="x-none"/>
        </w:rPr>
        <w:t>waar vanuit</w:t>
      </w:r>
      <w:r w:rsidRPr="007E57FA">
        <w:rPr>
          <w:lang w:bidi="x-none"/>
        </w:rPr>
        <w:t xml:space="preserve"> de </w:t>
      </w:r>
      <w:r>
        <w:rPr>
          <w:lang w:bidi="x-none"/>
        </w:rPr>
        <w:t xml:space="preserve">centrale </w:t>
      </w:r>
      <w:r w:rsidR="00765437">
        <w:rPr>
          <w:lang w:bidi="x-none"/>
        </w:rPr>
        <w:t>werk</w:t>
      </w:r>
      <w:r>
        <w:rPr>
          <w:lang w:bidi="x-none"/>
        </w:rPr>
        <w:t xml:space="preserve">locatie vervoer van de verkoopwagen </w:t>
      </w:r>
      <w:r w:rsidRPr="007E57FA">
        <w:rPr>
          <w:lang w:bidi="x-none"/>
        </w:rPr>
        <w:t>plaatsvindt</w:t>
      </w:r>
      <w:r>
        <w:rPr>
          <w:lang w:bidi="x-none"/>
        </w:rPr>
        <w:t xml:space="preserve"> naar de verschillende </w:t>
      </w:r>
      <w:r w:rsidR="00F3701A">
        <w:rPr>
          <w:lang w:bidi="x-none"/>
        </w:rPr>
        <w:t xml:space="preserve">verkooplocaties, </w:t>
      </w:r>
      <w:r>
        <w:rPr>
          <w:lang w:bidi="x-none"/>
        </w:rPr>
        <w:t>markten</w:t>
      </w:r>
      <w:r w:rsidRPr="007E57FA">
        <w:rPr>
          <w:lang w:bidi="x-none"/>
        </w:rPr>
        <w:t xml:space="preserve">. </w:t>
      </w:r>
      <w:r w:rsidR="00F3701A">
        <w:rPr>
          <w:lang w:bidi="x-none"/>
        </w:rPr>
        <w:t xml:space="preserve">Dit zijn </w:t>
      </w:r>
      <w:r w:rsidR="00B64F55">
        <w:rPr>
          <w:lang w:bidi="x-none"/>
        </w:rPr>
        <w:t xml:space="preserve">veelal </w:t>
      </w:r>
      <w:r w:rsidR="00F3701A">
        <w:rPr>
          <w:lang w:bidi="x-none"/>
        </w:rPr>
        <w:t>vaste rijroutes en</w:t>
      </w:r>
      <w:r w:rsidR="004E3AFC">
        <w:rPr>
          <w:lang w:bidi="x-none"/>
        </w:rPr>
        <w:t xml:space="preserve"> vaste verkoop</w:t>
      </w:r>
      <w:r w:rsidR="00F3701A">
        <w:rPr>
          <w:lang w:bidi="x-none"/>
        </w:rPr>
        <w:t>locaties</w:t>
      </w:r>
      <w:r w:rsidR="00B64F55">
        <w:rPr>
          <w:lang w:bidi="x-none"/>
        </w:rPr>
        <w:t xml:space="preserve"> maar er dient ook geanticipeerd te worden op vertragingen en files</w:t>
      </w:r>
      <w:r w:rsidR="00F3701A">
        <w:rPr>
          <w:lang w:bidi="x-none"/>
        </w:rPr>
        <w:t xml:space="preserve">. </w:t>
      </w:r>
      <w:r w:rsidR="002B023C">
        <w:rPr>
          <w:lang w:bidi="x-none"/>
        </w:rPr>
        <w:t xml:space="preserve">Daarnaast wordt de chauffeur I ingezet om (online) bestellingen van viswinkels te bezorgen. </w:t>
      </w:r>
      <w:r w:rsidRPr="007E57FA">
        <w:rPr>
          <w:lang w:bidi="x-none"/>
        </w:rPr>
        <w:t xml:space="preserve">De </w:t>
      </w:r>
      <w:r>
        <w:rPr>
          <w:lang w:bidi="x-none"/>
        </w:rPr>
        <w:t>functiehouder</w:t>
      </w:r>
      <w:r w:rsidRPr="007E57FA">
        <w:rPr>
          <w:lang w:bidi="x-none"/>
        </w:rPr>
        <w:t xml:space="preserve"> rijdt met </w:t>
      </w:r>
      <w:r w:rsidR="004E3AFC">
        <w:rPr>
          <w:lang w:bidi="x-none"/>
        </w:rPr>
        <w:t>een bestelwagen</w:t>
      </w:r>
      <w:r>
        <w:rPr>
          <w:lang w:bidi="x-none"/>
        </w:rPr>
        <w:t xml:space="preserve">, </w:t>
      </w:r>
      <w:r w:rsidRPr="007E57FA">
        <w:rPr>
          <w:lang w:bidi="x-none"/>
        </w:rPr>
        <w:t>en maakt gebruik van navigatie- en communicatiesystemen.</w:t>
      </w:r>
      <w:r>
        <w:rPr>
          <w:lang w:bidi="x-none"/>
        </w:rPr>
        <w:t xml:space="preserve"> </w:t>
      </w:r>
    </w:p>
    <w:p w:rsidR="005A3FBD" w:rsidRDefault="005A3FBD" w:rsidP="008727D5"/>
    <w:p w:rsidR="008727D5" w:rsidRPr="00712607" w:rsidRDefault="008727D5" w:rsidP="008727D5">
      <w:pPr>
        <w:ind w:right="-6"/>
      </w:pPr>
      <w:r>
        <w:t xml:space="preserve">De functie </w:t>
      </w:r>
      <w:r w:rsidR="001C2916">
        <w:t>chauffeur</w:t>
      </w:r>
      <w:r w:rsidR="0008436A">
        <w:t xml:space="preserve"> </w:t>
      </w:r>
      <w:r>
        <w:t xml:space="preserve">wordt onderscheiden op </w:t>
      </w:r>
      <w:r w:rsidR="001C2916">
        <w:t>twee</w:t>
      </w:r>
      <w:r>
        <w:t xml:space="preserve"> niveaus. De verschillen tussen de </w:t>
      </w:r>
      <w:r w:rsidR="001C2916">
        <w:t>chauffeur I en II</w:t>
      </w:r>
      <w:r>
        <w:t xml:space="preserve">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F3701A" w:rsidP="00F3701A">
            <w:pPr>
              <w:pStyle w:val="Opsom-streepjes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3701A">
              <w:rPr>
                <w:b/>
              </w:rPr>
              <w:t>Voorbereiding en uitvoering</w:t>
            </w:r>
          </w:p>
          <w:p w:rsidR="00F3701A" w:rsidRPr="00F3701A" w:rsidRDefault="00F3701A" w:rsidP="00F3701A">
            <w:pPr>
              <w:pStyle w:val="Opsom-streepjes"/>
              <w:numPr>
                <w:ilvl w:val="0"/>
                <w:numId w:val="0"/>
              </w:numPr>
            </w:pPr>
            <w:r>
              <w:t xml:space="preserve">Voorafgaand aan het transport naar de verkooplocatie </w:t>
            </w:r>
            <w:r w:rsidRPr="00F3701A">
              <w:t>is ondersteuning verleend bij het (</w:t>
            </w:r>
            <w:proofErr w:type="spellStart"/>
            <w:r w:rsidRPr="00F3701A">
              <w:t>be</w:t>
            </w:r>
            <w:proofErr w:type="spellEnd"/>
            <w:r w:rsidRPr="00F3701A">
              <w:t xml:space="preserve">)laden van de verkoopwagen en </w:t>
            </w:r>
            <w:r w:rsidR="001912E0">
              <w:t>het gereed maken</w:t>
            </w:r>
            <w:r w:rsidRPr="00F3701A">
              <w:t xml:space="preserve"> voor transport naar de marktlocatie. </w:t>
            </w:r>
            <w:r>
              <w:t>D</w:t>
            </w:r>
            <w:r w:rsidRPr="00F3701A">
              <w:t xml:space="preserve">e </w:t>
            </w:r>
            <w:r w:rsidR="004E3AFC">
              <w:t xml:space="preserve">bestelwagen is </w:t>
            </w:r>
            <w:r w:rsidRPr="00F3701A">
              <w:t>bediend en bestuurd en op de marktlocatie gepositioneerd</w:t>
            </w:r>
            <w:r w:rsidR="004A7D5D">
              <w:t>, d</w:t>
            </w:r>
            <w:r w:rsidR="002B023C">
              <w:t xml:space="preserve">an wel zijn de te leveren bestellingen in de bestelwagen geplaatst en bezorgd op de verschillende afleveradressen.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F3701A" w:rsidRPr="007E57FA" w:rsidRDefault="00F3701A" w:rsidP="00AC1823">
            <w:pPr>
              <w:pStyle w:val="Opsom-streepjes"/>
            </w:pPr>
            <w:r w:rsidRPr="007E57FA">
              <w:t>aantal schades (auto, lading);</w:t>
            </w:r>
          </w:p>
          <w:p w:rsidR="00F3701A" w:rsidRPr="007E57FA" w:rsidRDefault="00F3701A" w:rsidP="00AC1823">
            <w:pPr>
              <w:ind w:left="284" w:hanging="284"/>
            </w:pPr>
            <w:r w:rsidRPr="007E57FA">
              <w:t>-</w:t>
            </w:r>
            <w:r w:rsidRPr="007E57FA">
              <w:tab/>
              <w:t>brandstofverbruik;</w:t>
            </w:r>
          </w:p>
          <w:p w:rsidR="00600688" w:rsidRDefault="00F3701A" w:rsidP="00AC1823">
            <w:pPr>
              <w:pStyle w:val="Opsom-streepjes"/>
            </w:pPr>
            <w:r w:rsidRPr="007E57FA">
              <w:t>aantal meldingen/klachten over rijgedrag</w:t>
            </w:r>
            <w:r w:rsidR="00A021E0">
              <w:t>.</w:t>
            </w:r>
          </w:p>
          <w:p w:rsidR="00F3701A" w:rsidRPr="00712607" w:rsidRDefault="00F3701A" w:rsidP="00AC1823">
            <w:pPr>
              <w:pStyle w:val="Opsom-streepjes"/>
              <w:numPr>
                <w:ilvl w:val="0"/>
                <w:numId w:val="0"/>
              </w:numPr>
              <w:ind w:left="284" w:hanging="284"/>
            </w:pP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1C2916" w:rsidP="005A3FBD">
            <w:pPr>
              <w:ind w:right="-6"/>
              <w:rPr>
                <w:b/>
              </w:rPr>
            </w:pPr>
            <w:r w:rsidRPr="00F3701A">
              <w:rPr>
                <w:b/>
              </w:rPr>
              <w:t>Onderhoudsstaat verkoopwagen</w:t>
            </w:r>
          </w:p>
          <w:p w:rsidR="00F3701A" w:rsidRPr="00F3701A" w:rsidRDefault="00F3701A" w:rsidP="005A3FBD">
            <w:pPr>
              <w:ind w:right="-6"/>
            </w:pPr>
            <w:r w:rsidRPr="00F3701A">
              <w:t>Voor, tijdens en na het vervoer van de verkoopwagen zijn (dagelijkse) controles uitgevoerd en zijn zo</w:t>
            </w:r>
            <w:r w:rsidR="00B7039E">
              <w:t xml:space="preserve"> </w:t>
            </w:r>
            <w:r w:rsidRPr="00F3701A">
              <w:t xml:space="preserve">nodig </w:t>
            </w:r>
            <w:r w:rsidR="00B7039E">
              <w:t>eerste</w:t>
            </w:r>
            <w:r w:rsidRPr="00F3701A">
              <w:t>lijnsreparaties (lampen, oliepeil, bandenspanning e.d.) uitgevoerd.</w:t>
            </w:r>
            <w:r>
              <w:t xml:space="preserve"> De verkoopwagen is in-</w:t>
            </w:r>
            <w:r w:rsidR="00B7039E">
              <w:t xml:space="preserve"> </w:t>
            </w:r>
            <w:r>
              <w:t xml:space="preserve">en uitwendig schoongemaakt en storingen zijn gemeld aan de leidinggevende.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3701A" w:rsidRPr="007E57FA" w:rsidRDefault="00F3701A" w:rsidP="00AC1823">
            <w:pPr>
              <w:pStyle w:val="Opsom-streepjes"/>
            </w:pPr>
            <w:r w:rsidRPr="007E57FA">
              <w:t>algehele staat auto;</w:t>
            </w:r>
          </w:p>
          <w:p w:rsidR="00981D37" w:rsidRPr="00712607" w:rsidRDefault="00F3701A" w:rsidP="00AC1823">
            <w:pPr>
              <w:ind w:left="284" w:hanging="284"/>
            </w:pPr>
            <w:r w:rsidRPr="007E57FA">
              <w:t>-</w:t>
            </w:r>
            <w:r w:rsidRPr="007E57FA">
              <w:tab/>
              <w:t>aantal storingen als gevolg van niet-tijdig melden</w:t>
            </w:r>
            <w:r>
              <w:t>.</w:t>
            </w:r>
          </w:p>
        </w:tc>
      </w:tr>
      <w:tr w:rsidR="005A3FBD" w:rsidRPr="00712607" w:rsidTr="0029398C">
        <w:trPr>
          <w:trHeight w:val="526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1C2916" w:rsidP="005A3FBD">
            <w:pPr>
              <w:ind w:right="-6"/>
              <w:rPr>
                <w:b/>
              </w:rPr>
            </w:pPr>
            <w:r>
              <w:rPr>
                <w:b/>
              </w:rPr>
              <w:t>Registratie en administratie</w:t>
            </w:r>
          </w:p>
          <w:p w:rsidR="00F3701A" w:rsidRPr="00F3701A" w:rsidRDefault="00F3701A" w:rsidP="005A3FBD">
            <w:pPr>
              <w:ind w:right="-6"/>
            </w:pPr>
            <w:r w:rsidRPr="00F3701A">
              <w:t xml:space="preserve">Rijrapporten en andere bijzonderheden zijn geregistreerd en tijdig gemeld </w:t>
            </w:r>
            <w:r>
              <w:t>aan de leidinggeven</w:t>
            </w:r>
            <w:r w:rsidR="00B7039E">
              <w:t>de</w:t>
            </w:r>
            <w:r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3701A" w:rsidRPr="007E57FA" w:rsidRDefault="00F3701A" w:rsidP="00AC1823">
            <w:pPr>
              <w:ind w:left="284" w:hanging="284"/>
            </w:pPr>
            <w:r w:rsidRPr="007E57FA">
              <w:t>-</w:t>
            </w:r>
            <w:r w:rsidRPr="007E57FA">
              <w:tab/>
              <w:t>volledigheid registraties;</w:t>
            </w:r>
          </w:p>
          <w:p w:rsidR="005A3FBD" w:rsidRPr="00712607" w:rsidRDefault="00F3701A" w:rsidP="00AC1823">
            <w:pPr>
              <w:pStyle w:val="Opsom-streepjes"/>
            </w:pPr>
            <w:r w:rsidRPr="007E57FA">
              <w:t>tijdigheid verwerking.</w:t>
            </w:r>
          </w:p>
        </w:tc>
      </w:tr>
      <w:tr w:rsidR="002F61BA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2F61BA" w:rsidRPr="00C24A5C" w:rsidTr="0098185F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701A" w:rsidRPr="007E57FA" w:rsidRDefault="00F3701A" w:rsidP="00F3701A">
            <w:pPr>
              <w:pStyle w:val="Opsom-streepjes"/>
            </w:pPr>
            <w:r w:rsidRPr="007E57FA">
              <w:t>Kracht</w:t>
            </w:r>
            <w:r>
              <w:t>s</w:t>
            </w:r>
            <w:r w:rsidRPr="007E57FA">
              <w:t>uitoefening bij laad-, los- en transportwerkzaamheden.</w:t>
            </w:r>
            <w:r>
              <w:t xml:space="preserve"> </w:t>
            </w:r>
            <w:r w:rsidRPr="007E57FA">
              <w:t>Gedwongen of eenzijdige houding bij laad-, los- en transportwerkzaamheden.</w:t>
            </w:r>
          </w:p>
          <w:p w:rsidR="00F3701A" w:rsidRPr="007E57FA" w:rsidRDefault="00F3701A" w:rsidP="00F3701A">
            <w:pPr>
              <w:ind w:left="284" w:hanging="284"/>
            </w:pPr>
            <w:r w:rsidRPr="007E57FA">
              <w:t>-</w:t>
            </w:r>
            <w:r w:rsidRPr="007E57FA">
              <w:tab/>
              <w:t>Hinder van weersomstandigheden bij laden en lossen</w:t>
            </w:r>
            <w:r w:rsidR="004E3AFC">
              <w:t xml:space="preserve"> en bij de op-</w:t>
            </w:r>
            <w:r w:rsidR="00B7039E">
              <w:t xml:space="preserve"> </w:t>
            </w:r>
            <w:r w:rsidR="004E3AFC">
              <w:t>en afbouw van de verkoopwagen</w:t>
            </w:r>
            <w:r w:rsidRPr="007E57FA">
              <w:t>. Enerverend</w:t>
            </w:r>
            <w:r>
              <w:t>e omstandigheden</w:t>
            </w:r>
            <w:r w:rsidRPr="007E57FA">
              <w:t xml:space="preserve"> bij rijden in </w:t>
            </w:r>
            <w:r>
              <w:t>stads</w:t>
            </w:r>
            <w:r w:rsidRPr="007E57FA">
              <w:t xml:space="preserve">centra en op de </w:t>
            </w:r>
            <w:r>
              <w:t>snel</w:t>
            </w:r>
            <w:r w:rsidRPr="007E57FA">
              <w:t>weg.</w:t>
            </w:r>
          </w:p>
          <w:p w:rsidR="002F61BA" w:rsidRPr="00C24A5C" w:rsidRDefault="00F3701A" w:rsidP="00F3701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7E57FA">
              <w:t>Kans o</w:t>
            </w:r>
            <w:r>
              <w:t>p letsel bij verkeersongevallen</w:t>
            </w:r>
            <w:r w:rsidRPr="007E57FA">
              <w:t xml:space="preserve"> en laden/lossen (stoten, beknelling</w:t>
            </w:r>
            <w:r>
              <w:t>)</w:t>
            </w:r>
            <w:r w:rsidRPr="007E57FA">
              <w:t>.</w:t>
            </w:r>
          </w:p>
        </w:tc>
      </w:tr>
      <w:tr w:rsidR="0098185F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98185F" w:rsidRPr="00D23D4D" w:rsidRDefault="0098185F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E1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25" w:rsidRDefault="00133625" w:rsidP="0099201E">
      <w:r>
        <w:separator/>
      </w:r>
    </w:p>
  </w:endnote>
  <w:endnote w:type="continuationSeparator" w:id="0">
    <w:p w:rsidR="00133625" w:rsidRDefault="00133625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Content>
      <w:p w:rsidR="006B556B" w:rsidRPr="0099201E" w:rsidRDefault="006B556B" w:rsidP="006B556B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>
          <w:rPr>
            <w:rStyle w:val="Paginanummer"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E16C21" w:rsidRDefault="0099201E" w:rsidP="00E16C21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EC" w:rsidRDefault="00CE07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25" w:rsidRDefault="00133625" w:rsidP="0099201E">
      <w:r>
        <w:separator/>
      </w:r>
    </w:p>
  </w:footnote>
  <w:footnote w:type="continuationSeparator" w:id="0">
    <w:p w:rsidR="00133625" w:rsidRDefault="00133625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EC" w:rsidRDefault="00CE07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1C2916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CHAUFFEUR</w:t>
    </w:r>
    <w:r w:rsidR="000A5478">
      <w:rPr>
        <w:b/>
        <w:sz w:val="28"/>
        <w:szCs w:val="28"/>
      </w:rPr>
      <w:t xml:space="preserve"> I</w:t>
    </w:r>
  </w:p>
  <w:p w:rsidR="00763599" w:rsidRDefault="007635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EC" w:rsidRDefault="00CE07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11311"/>
    <w:rsid w:val="000413FC"/>
    <w:rsid w:val="00073015"/>
    <w:rsid w:val="000741DF"/>
    <w:rsid w:val="0008436A"/>
    <w:rsid w:val="00086B6F"/>
    <w:rsid w:val="00086E69"/>
    <w:rsid w:val="00087C2C"/>
    <w:rsid w:val="000A5478"/>
    <w:rsid w:val="000B7F47"/>
    <w:rsid w:val="000E2288"/>
    <w:rsid w:val="000E7906"/>
    <w:rsid w:val="000F285E"/>
    <w:rsid w:val="00102D30"/>
    <w:rsid w:val="00106E05"/>
    <w:rsid w:val="001240A6"/>
    <w:rsid w:val="00133625"/>
    <w:rsid w:val="00182CB5"/>
    <w:rsid w:val="001912E0"/>
    <w:rsid w:val="001C2916"/>
    <w:rsid w:val="001E27BA"/>
    <w:rsid w:val="001F7342"/>
    <w:rsid w:val="002061E0"/>
    <w:rsid w:val="002126F6"/>
    <w:rsid w:val="00234B05"/>
    <w:rsid w:val="00265B97"/>
    <w:rsid w:val="0029398C"/>
    <w:rsid w:val="002B023C"/>
    <w:rsid w:val="002D62AC"/>
    <w:rsid w:val="002F61BA"/>
    <w:rsid w:val="002F62A5"/>
    <w:rsid w:val="00323CE3"/>
    <w:rsid w:val="00325B9E"/>
    <w:rsid w:val="00343B60"/>
    <w:rsid w:val="003505CC"/>
    <w:rsid w:val="00351F55"/>
    <w:rsid w:val="00360957"/>
    <w:rsid w:val="00371E89"/>
    <w:rsid w:val="003851A4"/>
    <w:rsid w:val="003935D2"/>
    <w:rsid w:val="00397A57"/>
    <w:rsid w:val="00405A69"/>
    <w:rsid w:val="00414F77"/>
    <w:rsid w:val="00432C22"/>
    <w:rsid w:val="00433188"/>
    <w:rsid w:val="00433D16"/>
    <w:rsid w:val="00444B70"/>
    <w:rsid w:val="00462969"/>
    <w:rsid w:val="00473EE7"/>
    <w:rsid w:val="004A7D5D"/>
    <w:rsid w:val="004E0BA8"/>
    <w:rsid w:val="004E3AFC"/>
    <w:rsid w:val="004E4675"/>
    <w:rsid w:val="004F28F0"/>
    <w:rsid w:val="004F7477"/>
    <w:rsid w:val="00510814"/>
    <w:rsid w:val="00534098"/>
    <w:rsid w:val="00543F11"/>
    <w:rsid w:val="0055566C"/>
    <w:rsid w:val="005602DB"/>
    <w:rsid w:val="005614ED"/>
    <w:rsid w:val="005648FE"/>
    <w:rsid w:val="0058273B"/>
    <w:rsid w:val="005A3FBD"/>
    <w:rsid w:val="00600688"/>
    <w:rsid w:val="00614AC2"/>
    <w:rsid w:val="00624AFE"/>
    <w:rsid w:val="00640393"/>
    <w:rsid w:val="006566EC"/>
    <w:rsid w:val="006A32D9"/>
    <w:rsid w:val="006A6DB2"/>
    <w:rsid w:val="006B288D"/>
    <w:rsid w:val="006B4EAA"/>
    <w:rsid w:val="006B556B"/>
    <w:rsid w:val="006C0A12"/>
    <w:rsid w:val="006C78DA"/>
    <w:rsid w:val="006D15B0"/>
    <w:rsid w:val="0070644F"/>
    <w:rsid w:val="00712607"/>
    <w:rsid w:val="007318D4"/>
    <w:rsid w:val="00734E39"/>
    <w:rsid w:val="00752CBD"/>
    <w:rsid w:val="00763599"/>
    <w:rsid w:val="00765437"/>
    <w:rsid w:val="00782EEF"/>
    <w:rsid w:val="007A50D2"/>
    <w:rsid w:val="007E3370"/>
    <w:rsid w:val="00805083"/>
    <w:rsid w:val="00807E3B"/>
    <w:rsid w:val="00810A85"/>
    <w:rsid w:val="0082001C"/>
    <w:rsid w:val="008424ED"/>
    <w:rsid w:val="00857CC5"/>
    <w:rsid w:val="008727D5"/>
    <w:rsid w:val="008803C1"/>
    <w:rsid w:val="008A1010"/>
    <w:rsid w:val="008A1799"/>
    <w:rsid w:val="008C0525"/>
    <w:rsid w:val="008C39B6"/>
    <w:rsid w:val="008E6457"/>
    <w:rsid w:val="008F2937"/>
    <w:rsid w:val="0091640D"/>
    <w:rsid w:val="00925CA3"/>
    <w:rsid w:val="00961A36"/>
    <w:rsid w:val="00967DA0"/>
    <w:rsid w:val="00980706"/>
    <w:rsid w:val="0098185F"/>
    <w:rsid w:val="00981D37"/>
    <w:rsid w:val="00986D86"/>
    <w:rsid w:val="0099201E"/>
    <w:rsid w:val="009B7F7E"/>
    <w:rsid w:val="009C4876"/>
    <w:rsid w:val="009F7CBF"/>
    <w:rsid w:val="00A021E0"/>
    <w:rsid w:val="00A72CB9"/>
    <w:rsid w:val="00AC1823"/>
    <w:rsid w:val="00AD2D46"/>
    <w:rsid w:val="00AD4BFA"/>
    <w:rsid w:val="00AF2F8A"/>
    <w:rsid w:val="00AF30C8"/>
    <w:rsid w:val="00B27FD5"/>
    <w:rsid w:val="00B35FC4"/>
    <w:rsid w:val="00B54704"/>
    <w:rsid w:val="00B649AA"/>
    <w:rsid w:val="00B64F55"/>
    <w:rsid w:val="00B7039E"/>
    <w:rsid w:val="00B759B3"/>
    <w:rsid w:val="00BC3BEA"/>
    <w:rsid w:val="00BE2449"/>
    <w:rsid w:val="00C13E85"/>
    <w:rsid w:val="00C40F45"/>
    <w:rsid w:val="00C879A3"/>
    <w:rsid w:val="00C9401B"/>
    <w:rsid w:val="00CA29B0"/>
    <w:rsid w:val="00CB1E06"/>
    <w:rsid w:val="00CC32DF"/>
    <w:rsid w:val="00CD0D15"/>
    <w:rsid w:val="00CE07EC"/>
    <w:rsid w:val="00CF675F"/>
    <w:rsid w:val="00D17BCF"/>
    <w:rsid w:val="00D5676E"/>
    <w:rsid w:val="00D71EA4"/>
    <w:rsid w:val="00D73612"/>
    <w:rsid w:val="00D85325"/>
    <w:rsid w:val="00DD2BF8"/>
    <w:rsid w:val="00DE1848"/>
    <w:rsid w:val="00DE42F4"/>
    <w:rsid w:val="00E10AD5"/>
    <w:rsid w:val="00E16C21"/>
    <w:rsid w:val="00E612B6"/>
    <w:rsid w:val="00E64441"/>
    <w:rsid w:val="00E92018"/>
    <w:rsid w:val="00EA0C5C"/>
    <w:rsid w:val="00EE6B1C"/>
    <w:rsid w:val="00F3701A"/>
    <w:rsid w:val="00F51F3D"/>
    <w:rsid w:val="00F61441"/>
    <w:rsid w:val="00F66ECB"/>
    <w:rsid w:val="00FB5482"/>
    <w:rsid w:val="00FC1D8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10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11</cp:revision>
  <dcterms:created xsi:type="dcterms:W3CDTF">2021-01-05T11:19:00Z</dcterms:created>
  <dcterms:modified xsi:type="dcterms:W3CDTF">2021-08-23T13:52:00Z</dcterms:modified>
</cp:coreProperties>
</file>